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53F0" w14:textId="05F94860" w:rsidR="009B0395" w:rsidRPr="00452B40" w:rsidRDefault="007C3C1C" w:rsidP="007C3C1C">
      <w:pPr>
        <w:spacing w:after="0"/>
        <w:ind w:left="43"/>
        <w:rPr>
          <w:rFonts w:asciiTheme="minorHAnsi" w:hAnsiTheme="minorHAnsi" w:cstheme="minorHAnsi"/>
          <w:u w:val="single"/>
        </w:rPr>
      </w:pPr>
      <w:r>
        <w:rPr>
          <w:noProof/>
        </w:rPr>
        <w:drawing>
          <wp:inline distT="0" distB="0" distL="0" distR="0" wp14:anchorId="7672D466" wp14:editId="5773CF4C">
            <wp:extent cx="866775" cy="8302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4904" cy="838011"/>
                    </a:xfrm>
                    <a:prstGeom prst="rect">
                      <a:avLst/>
                    </a:prstGeom>
                  </pic:spPr>
                </pic:pic>
              </a:graphicData>
            </a:graphic>
          </wp:inline>
        </w:drawing>
      </w:r>
      <w:r w:rsidRPr="007C3C1C">
        <w:rPr>
          <w:rFonts w:asciiTheme="minorHAnsi" w:hAnsiTheme="minorHAnsi" w:cstheme="minorHAnsi"/>
          <w:b/>
          <w:color w:val="FF0000"/>
          <w:sz w:val="90"/>
        </w:rPr>
        <w:t xml:space="preserve">   </w:t>
      </w:r>
      <w:r w:rsidR="004F0797" w:rsidRPr="00452B40">
        <w:rPr>
          <w:rFonts w:asciiTheme="minorHAnsi" w:hAnsiTheme="minorHAnsi" w:cstheme="minorHAnsi"/>
          <w:b/>
          <w:color w:val="FF0000"/>
          <w:sz w:val="90"/>
          <w:u w:val="single"/>
        </w:rPr>
        <w:t xml:space="preserve">SAFETY ALERT </w:t>
      </w:r>
    </w:p>
    <w:p w14:paraId="14D1FC73" w14:textId="77777777" w:rsidR="009B0395" w:rsidRPr="00452B40" w:rsidRDefault="004F0797">
      <w:pPr>
        <w:spacing w:after="0"/>
        <w:ind w:left="10" w:right="224" w:hanging="10"/>
        <w:jc w:val="center"/>
        <w:rPr>
          <w:rFonts w:asciiTheme="minorHAnsi" w:hAnsiTheme="minorHAnsi" w:cstheme="minorHAnsi"/>
          <w:b/>
          <w:bCs/>
          <w:sz w:val="28"/>
          <w:szCs w:val="28"/>
        </w:rPr>
      </w:pPr>
      <w:r w:rsidRPr="00452B40">
        <w:rPr>
          <w:rFonts w:asciiTheme="minorHAnsi" w:hAnsiTheme="minorHAnsi" w:cstheme="minorHAnsi"/>
          <w:b/>
          <w:bCs/>
          <w:sz w:val="28"/>
          <w:szCs w:val="28"/>
        </w:rPr>
        <w:t xml:space="preserve">TBIT </w:t>
      </w:r>
      <w:proofErr w:type="spellStart"/>
      <w:r w:rsidRPr="00452B40">
        <w:rPr>
          <w:rFonts w:asciiTheme="minorHAnsi" w:hAnsiTheme="minorHAnsi" w:cstheme="minorHAnsi"/>
          <w:b/>
          <w:bCs/>
          <w:sz w:val="28"/>
          <w:szCs w:val="28"/>
        </w:rPr>
        <w:t>Bagroom</w:t>
      </w:r>
      <w:proofErr w:type="spellEnd"/>
      <w:r w:rsidRPr="00452B40">
        <w:rPr>
          <w:rFonts w:asciiTheme="minorHAnsi" w:hAnsiTheme="minorHAnsi" w:cstheme="minorHAnsi"/>
          <w:b/>
          <w:bCs/>
          <w:sz w:val="28"/>
          <w:szCs w:val="28"/>
        </w:rPr>
        <w:t xml:space="preserve"> </w:t>
      </w:r>
    </w:p>
    <w:p w14:paraId="56CE8E95" w14:textId="649D777D" w:rsidR="009B0395" w:rsidRPr="00452B40" w:rsidRDefault="004F0797">
      <w:pPr>
        <w:spacing w:after="0"/>
        <w:ind w:left="10" w:right="224" w:hanging="10"/>
        <w:jc w:val="center"/>
        <w:rPr>
          <w:rFonts w:asciiTheme="minorHAnsi" w:hAnsiTheme="minorHAnsi" w:cstheme="minorHAnsi"/>
        </w:rPr>
      </w:pPr>
      <w:r w:rsidRPr="00452B40">
        <w:rPr>
          <w:rFonts w:asciiTheme="minorHAnsi" w:hAnsiTheme="minorHAnsi" w:cstheme="minorHAnsi"/>
        </w:rPr>
        <w:t>January 2</w:t>
      </w:r>
      <w:r w:rsidR="00C03817">
        <w:rPr>
          <w:rFonts w:asciiTheme="minorHAnsi" w:hAnsiTheme="minorHAnsi" w:cstheme="minorHAnsi"/>
        </w:rPr>
        <w:t>4</w:t>
      </w:r>
      <w:r w:rsidRPr="00452B40">
        <w:rPr>
          <w:rFonts w:asciiTheme="minorHAnsi" w:hAnsiTheme="minorHAnsi" w:cstheme="minorHAnsi"/>
        </w:rPr>
        <w:t xml:space="preserve"> ,2020</w:t>
      </w:r>
    </w:p>
    <w:p w14:paraId="3714B193" w14:textId="77777777" w:rsidR="00452B40" w:rsidRPr="004F0797" w:rsidRDefault="00452B40">
      <w:pPr>
        <w:spacing w:after="0"/>
        <w:ind w:left="10" w:right="224" w:hanging="10"/>
        <w:jc w:val="center"/>
        <w:rPr>
          <w:rFonts w:asciiTheme="minorHAnsi" w:hAnsiTheme="minorHAnsi" w:cstheme="minorHAnsi"/>
          <w:sz w:val="24"/>
          <w:szCs w:val="24"/>
        </w:rPr>
      </w:pPr>
    </w:p>
    <w:p w14:paraId="4D40DCEB" w14:textId="50775C82" w:rsidR="009B0395" w:rsidRPr="004F33EE" w:rsidRDefault="004F0797" w:rsidP="004F0797">
      <w:pPr>
        <w:tabs>
          <w:tab w:val="right" w:pos="9361"/>
        </w:tabs>
        <w:spacing w:after="272"/>
        <w:ind w:left="-15" w:right="-15"/>
        <w:jc w:val="both"/>
        <w:rPr>
          <w:rFonts w:asciiTheme="minorHAnsi" w:eastAsia="Arial" w:hAnsiTheme="minorHAnsi" w:cstheme="minorHAnsi"/>
        </w:rPr>
      </w:pPr>
      <w:r w:rsidRPr="004F33EE">
        <w:rPr>
          <w:rFonts w:asciiTheme="minorHAnsi" w:hAnsiTheme="minorHAnsi" w:cstheme="minorHAnsi"/>
        </w:rPr>
        <w:t xml:space="preserve">This is a reminder to all, that in order to prevent flight delays and inconveniences, NO vehicle or equipment is allowed to park or block airlines operations on drive paths in the TBIT Bag Room (Interstitial level). </w:t>
      </w:r>
      <w:r w:rsidR="00452B40" w:rsidRPr="004F33EE">
        <w:rPr>
          <w:rFonts w:asciiTheme="minorHAnsi" w:eastAsia="Arial" w:hAnsiTheme="minorHAnsi" w:cstheme="minorHAnsi"/>
        </w:rPr>
        <w:t xml:space="preserve">All service providers are to attend to their respective operations in a timely manner as to not impede or obstruct the entry or exit paths in the TBIT </w:t>
      </w:r>
      <w:proofErr w:type="spellStart"/>
      <w:r w:rsidR="00452B40" w:rsidRPr="004F33EE">
        <w:rPr>
          <w:rFonts w:asciiTheme="minorHAnsi" w:eastAsia="Arial" w:hAnsiTheme="minorHAnsi" w:cstheme="minorHAnsi"/>
        </w:rPr>
        <w:t>Bagroom</w:t>
      </w:r>
      <w:proofErr w:type="spellEnd"/>
      <w:r w:rsidR="00452B40" w:rsidRPr="004F33EE">
        <w:rPr>
          <w:rFonts w:asciiTheme="minorHAnsi" w:eastAsia="Arial" w:hAnsiTheme="minorHAnsi" w:cstheme="minorHAnsi"/>
        </w:rPr>
        <w:t>.</w:t>
      </w:r>
    </w:p>
    <w:p w14:paraId="4C6807B3" w14:textId="77777777" w:rsidR="009B0395" w:rsidRPr="00452B40" w:rsidRDefault="004F0797" w:rsidP="001638E7">
      <w:pPr>
        <w:spacing w:after="0"/>
        <w:ind w:left="406"/>
        <w:rPr>
          <w:rFonts w:asciiTheme="minorHAnsi" w:hAnsiTheme="minorHAnsi" w:cstheme="minorHAnsi"/>
        </w:rPr>
      </w:pPr>
      <w:r w:rsidRPr="00452B40">
        <w:rPr>
          <w:rFonts w:asciiTheme="minorHAnsi" w:hAnsiTheme="minorHAnsi" w:cstheme="minorHAnsi"/>
          <w:b/>
          <w:color w:val="FF0000"/>
          <w:u w:val="single" w:color="FF0000"/>
        </w:rPr>
        <w:t>Example of Prohibited Items / Equipment:</w:t>
      </w:r>
      <w:r w:rsidRPr="00452B40">
        <w:rPr>
          <w:rFonts w:asciiTheme="minorHAnsi" w:hAnsiTheme="minorHAnsi" w:cstheme="minorHAnsi"/>
          <w:b/>
          <w:color w:val="FF0000"/>
        </w:rPr>
        <w:t xml:space="preserve"> </w:t>
      </w:r>
    </w:p>
    <w:p w14:paraId="4DFC402F" w14:textId="77777777" w:rsidR="009B0395" w:rsidRPr="00452B40" w:rsidRDefault="004F0797" w:rsidP="001638E7">
      <w:pPr>
        <w:numPr>
          <w:ilvl w:val="0"/>
          <w:numId w:val="1"/>
        </w:numPr>
        <w:spacing w:after="0" w:line="265" w:lineRule="auto"/>
        <w:ind w:hanging="713"/>
        <w:rPr>
          <w:rFonts w:asciiTheme="minorHAnsi" w:hAnsiTheme="minorHAnsi" w:cstheme="minorHAnsi"/>
        </w:rPr>
      </w:pPr>
      <w:r w:rsidRPr="00452B40">
        <w:rPr>
          <w:rFonts w:asciiTheme="minorHAnsi" w:hAnsiTheme="minorHAnsi" w:cstheme="minorHAnsi"/>
          <w:b/>
          <w:color w:val="FF0000"/>
        </w:rPr>
        <w:t>Tugs</w:t>
      </w:r>
    </w:p>
    <w:p w14:paraId="613722F7" w14:textId="77777777" w:rsidR="009B0395" w:rsidRPr="00452B40" w:rsidRDefault="004F0797" w:rsidP="001638E7">
      <w:pPr>
        <w:numPr>
          <w:ilvl w:val="0"/>
          <w:numId w:val="1"/>
        </w:numPr>
        <w:spacing w:after="0" w:line="265" w:lineRule="auto"/>
        <w:ind w:hanging="713"/>
        <w:rPr>
          <w:rFonts w:asciiTheme="minorHAnsi" w:hAnsiTheme="minorHAnsi" w:cstheme="minorHAnsi"/>
        </w:rPr>
      </w:pPr>
      <w:r w:rsidRPr="00452B40">
        <w:rPr>
          <w:rFonts w:asciiTheme="minorHAnsi" w:hAnsiTheme="minorHAnsi" w:cstheme="minorHAnsi"/>
          <w:b/>
          <w:color w:val="FF0000"/>
        </w:rPr>
        <w:t>Dollies</w:t>
      </w:r>
    </w:p>
    <w:p w14:paraId="1B453A0B" w14:textId="77777777" w:rsidR="009B0395" w:rsidRPr="00452B40" w:rsidRDefault="004F0797" w:rsidP="001638E7">
      <w:pPr>
        <w:numPr>
          <w:ilvl w:val="0"/>
          <w:numId w:val="1"/>
        </w:numPr>
        <w:spacing w:after="0" w:line="265" w:lineRule="auto"/>
        <w:ind w:hanging="713"/>
        <w:rPr>
          <w:rFonts w:asciiTheme="minorHAnsi" w:hAnsiTheme="minorHAnsi" w:cstheme="minorHAnsi"/>
        </w:rPr>
      </w:pPr>
      <w:r w:rsidRPr="00452B40">
        <w:rPr>
          <w:rFonts w:asciiTheme="minorHAnsi" w:hAnsiTheme="minorHAnsi" w:cstheme="minorHAnsi"/>
          <w:b/>
          <w:color w:val="FF0000"/>
        </w:rPr>
        <w:t>Cones &amp; Chocks</w:t>
      </w:r>
    </w:p>
    <w:p w14:paraId="49D08971" w14:textId="77777777" w:rsidR="009B0395" w:rsidRPr="00452B40" w:rsidRDefault="004F0797" w:rsidP="001638E7">
      <w:pPr>
        <w:numPr>
          <w:ilvl w:val="0"/>
          <w:numId w:val="1"/>
        </w:numPr>
        <w:spacing w:after="0" w:line="265" w:lineRule="auto"/>
        <w:ind w:hanging="713"/>
        <w:rPr>
          <w:rFonts w:asciiTheme="minorHAnsi" w:hAnsiTheme="minorHAnsi" w:cstheme="minorHAnsi"/>
        </w:rPr>
      </w:pPr>
      <w:r w:rsidRPr="00452B40">
        <w:rPr>
          <w:rFonts w:asciiTheme="minorHAnsi" w:hAnsiTheme="minorHAnsi" w:cstheme="minorHAnsi"/>
          <w:b/>
          <w:color w:val="FF0000"/>
        </w:rPr>
        <w:t>Containers &amp; Pallets</w:t>
      </w:r>
    </w:p>
    <w:p w14:paraId="60359EE6" w14:textId="77777777" w:rsidR="009B0395" w:rsidRPr="00452B40" w:rsidRDefault="004F0797" w:rsidP="001638E7">
      <w:pPr>
        <w:numPr>
          <w:ilvl w:val="0"/>
          <w:numId w:val="1"/>
        </w:numPr>
        <w:spacing w:after="0" w:line="265" w:lineRule="auto"/>
        <w:ind w:hanging="713"/>
        <w:rPr>
          <w:rFonts w:asciiTheme="minorHAnsi" w:hAnsiTheme="minorHAnsi" w:cstheme="minorHAnsi"/>
        </w:rPr>
      </w:pPr>
      <w:r w:rsidRPr="00452B40">
        <w:rPr>
          <w:rFonts w:asciiTheme="minorHAnsi" w:hAnsiTheme="minorHAnsi" w:cstheme="minorHAnsi"/>
          <w:b/>
          <w:color w:val="FF0000"/>
        </w:rPr>
        <w:t>Baggage</w:t>
      </w:r>
    </w:p>
    <w:p w14:paraId="041DB826" w14:textId="77777777" w:rsidR="009B0395" w:rsidRPr="00452B40" w:rsidRDefault="004F0797" w:rsidP="001638E7">
      <w:pPr>
        <w:numPr>
          <w:ilvl w:val="0"/>
          <w:numId w:val="1"/>
        </w:numPr>
        <w:spacing w:after="0" w:line="265" w:lineRule="auto"/>
        <w:ind w:hanging="713"/>
        <w:rPr>
          <w:rFonts w:asciiTheme="minorHAnsi" w:hAnsiTheme="minorHAnsi" w:cstheme="minorHAnsi"/>
        </w:rPr>
      </w:pPr>
      <w:r w:rsidRPr="00452B40">
        <w:rPr>
          <w:rFonts w:asciiTheme="minorHAnsi" w:hAnsiTheme="minorHAnsi" w:cstheme="minorHAnsi"/>
          <w:b/>
          <w:color w:val="FF0000"/>
        </w:rPr>
        <w:t>Carts</w:t>
      </w:r>
    </w:p>
    <w:p w14:paraId="032E2E13" w14:textId="143B09B6" w:rsidR="009B0395" w:rsidRPr="00452B40" w:rsidRDefault="004F0797" w:rsidP="001638E7">
      <w:pPr>
        <w:numPr>
          <w:ilvl w:val="0"/>
          <w:numId w:val="1"/>
        </w:numPr>
        <w:spacing w:after="0" w:line="265" w:lineRule="auto"/>
        <w:ind w:hanging="713"/>
        <w:rPr>
          <w:rFonts w:asciiTheme="minorHAnsi" w:hAnsiTheme="minorHAnsi" w:cstheme="minorHAnsi"/>
        </w:rPr>
      </w:pPr>
      <w:r w:rsidRPr="00452B40">
        <w:rPr>
          <w:rFonts w:asciiTheme="minorHAnsi" w:hAnsiTheme="minorHAnsi" w:cstheme="minorHAnsi"/>
          <w:b/>
          <w:color w:val="FF0000"/>
        </w:rPr>
        <w:t>FOD (</w:t>
      </w:r>
      <w:r w:rsidR="00FC248E">
        <w:rPr>
          <w:rFonts w:asciiTheme="minorHAnsi" w:hAnsiTheme="minorHAnsi" w:cstheme="minorHAnsi"/>
          <w:b/>
          <w:color w:val="FF0000"/>
        </w:rPr>
        <w:t>P</w:t>
      </w:r>
      <w:r w:rsidRPr="00452B40">
        <w:rPr>
          <w:rFonts w:asciiTheme="minorHAnsi" w:hAnsiTheme="minorHAnsi" w:cstheme="minorHAnsi"/>
          <w:b/>
          <w:color w:val="FF0000"/>
        </w:rPr>
        <w:t>lastic</w:t>
      </w:r>
      <w:r w:rsidR="00FC248E">
        <w:rPr>
          <w:rFonts w:asciiTheme="minorHAnsi" w:hAnsiTheme="minorHAnsi" w:cstheme="minorHAnsi"/>
          <w:b/>
          <w:color w:val="FF0000"/>
        </w:rPr>
        <w:t xml:space="preserve"> wrap</w:t>
      </w:r>
      <w:r w:rsidRPr="00452B40">
        <w:rPr>
          <w:rFonts w:asciiTheme="minorHAnsi" w:hAnsiTheme="minorHAnsi" w:cstheme="minorHAnsi"/>
          <w:b/>
          <w:color w:val="FF0000"/>
        </w:rPr>
        <w:t xml:space="preserve">, </w:t>
      </w:r>
      <w:r w:rsidR="00FC248E" w:rsidRPr="00452B40">
        <w:rPr>
          <w:rFonts w:asciiTheme="minorHAnsi" w:hAnsiTheme="minorHAnsi" w:cstheme="minorHAnsi"/>
          <w:b/>
          <w:color w:val="FF0000"/>
        </w:rPr>
        <w:t>Styr</w:t>
      </w:r>
      <w:r w:rsidR="00FC248E">
        <w:rPr>
          <w:rFonts w:asciiTheme="minorHAnsi" w:hAnsiTheme="minorHAnsi" w:cstheme="minorHAnsi"/>
          <w:b/>
          <w:color w:val="FF0000"/>
        </w:rPr>
        <w:t>o</w:t>
      </w:r>
      <w:r w:rsidR="00FC248E" w:rsidRPr="00452B40">
        <w:rPr>
          <w:rFonts w:asciiTheme="minorHAnsi" w:hAnsiTheme="minorHAnsi" w:cstheme="minorHAnsi"/>
          <w:b/>
          <w:color w:val="FF0000"/>
        </w:rPr>
        <w:t>foam</w:t>
      </w:r>
      <w:r w:rsidRPr="00452B40">
        <w:rPr>
          <w:rFonts w:asciiTheme="minorHAnsi" w:hAnsiTheme="minorHAnsi" w:cstheme="minorHAnsi"/>
          <w:b/>
          <w:color w:val="FF0000"/>
        </w:rPr>
        <w:t xml:space="preserve">, </w:t>
      </w:r>
      <w:r w:rsidR="00FC248E">
        <w:rPr>
          <w:rFonts w:asciiTheme="minorHAnsi" w:hAnsiTheme="minorHAnsi" w:cstheme="minorHAnsi"/>
          <w:b/>
          <w:color w:val="FF0000"/>
        </w:rPr>
        <w:t>W</w:t>
      </w:r>
      <w:r w:rsidRPr="00452B40">
        <w:rPr>
          <w:rFonts w:asciiTheme="minorHAnsi" w:hAnsiTheme="minorHAnsi" w:cstheme="minorHAnsi"/>
          <w:b/>
          <w:color w:val="FF0000"/>
        </w:rPr>
        <w:t>ooden pallets)</w:t>
      </w:r>
    </w:p>
    <w:p w14:paraId="1DAA3F15" w14:textId="7450D2EB" w:rsidR="00452B40" w:rsidRDefault="004F33EE" w:rsidP="00452B40">
      <w:pPr>
        <w:spacing w:after="283"/>
        <w:ind w:left="308"/>
        <w:rPr>
          <w:rFonts w:ascii="Arial" w:eastAsia="Arial" w:hAnsi="Arial" w:cs="Arial"/>
          <w:sz w:val="16"/>
        </w:rPr>
      </w:pPr>
      <w:r>
        <w:rPr>
          <w:rFonts w:ascii="Arial" w:eastAsia="Arial" w:hAnsi="Arial" w:cs="Arial"/>
          <w:sz w:val="16"/>
        </w:rPr>
        <w:t xml:space="preserve">       </w:t>
      </w:r>
      <w:r w:rsidR="004F0797">
        <w:rPr>
          <w:noProof/>
        </w:rPr>
        <w:drawing>
          <wp:inline distT="0" distB="0" distL="0" distR="0" wp14:anchorId="7B189333" wp14:editId="6C9E1DD3">
            <wp:extent cx="5114925" cy="2895600"/>
            <wp:effectExtent l="0" t="0" r="9525"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9"/>
                    <a:stretch>
                      <a:fillRect/>
                    </a:stretch>
                  </pic:blipFill>
                  <pic:spPr>
                    <a:xfrm>
                      <a:off x="0" y="0"/>
                      <a:ext cx="5115672" cy="2896023"/>
                    </a:xfrm>
                    <a:prstGeom prst="rect">
                      <a:avLst/>
                    </a:prstGeom>
                  </pic:spPr>
                </pic:pic>
              </a:graphicData>
            </a:graphic>
          </wp:inline>
        </w:drawing>
      </w:r>
      <w:bookmarkStart w:id="0" w:name="_GoBack"/>
      <w:bookmarkEnd w:id="0"/>
    </w:p>
    <w:p w14:paraId="3DA48E11" w14:textId="15048E20" w:rsidR="00C03817" w:rsidRPr="00C03817" w:rsidRDefault="004F33EE" w:rsidP="00C03817">
      <w:pPr>
        <w:spacing w:after="0" w:line="240" w:lineRule="auto"/>
        <w:ind w:left="308"/>
        <w:rPr>
          <w:rFonts w:asciiTheme="minorHAnsi" w:eastAsia="Arial" w:hAnsiTheme="minorHAnsi" w:cstheme="minorHAnsi"/>
        </w:rPr>
      </w:pPr>
      <w:r w:rsidRPr="00C03817">
        <w:rPr>
          <w:rFonts w:asciiTheme="minorHAnsi" w:eastAsia="Arial" w:hAnsiTheme="minorHAnsi" w:cstheme="minorHAnsi"/>
        </w:rPr>
        <w:t>REFRENCE:</w:t>
      </w:r>
      <w:r w:rsidR="00C03817" w:rsidRPr="00C03817">
        <w:rPr>
          <w:rFonts w:asciiTheme="minorHAnsi" w:eastAsia="Arial" w:hAnsiTheme="minorHAnsi" w:cstheme="minorHAnsi"/>
        </w:rPr>
        <w:t xml:space="preserve"> LAWA Rules and Regulations </w:t>
      </w:r>
    </w:p>
    <w:p w14:paraId="6ACD213D" w14:textId="1D315C15" w:rsidR="00C03817" w:rsidRDefault="00FF2B75" w:rsidP="00C03817">
      <w:pPr>
        <w:spacing w:after="0" w:line="240" w:lineRule="auto"/>
        <w:ind w:left="308"/>
        <w:rPr>
          <w:rFonts w:asciiTheme="minorHAnsi" w:eastAsia="Arial" w:hAnsiTheme="minorHAnsi" w:cstheme="minorHAnsi"/>
        </w:rPr>
      </w:pPr>
      <w:hyperlink r:id="rId10" w:history="1">
        <w:r w:rsidR="00C03817">
          <w:rPr>
            <w:rStyle w:val="Hyperlink"/>
          </w:rPr>
          <w:t>https://www.lawa.org/en/rules-and-regulations/lax-rules-and-regulations</w:t>
        </w:r>
      </w:hyperlink>
    </w:p>
    <w:p w14:paraId="7235CCF4" w14:textId="77777777" w:rsidR="00C03817" w:rsidRPr="00C03817" w:rsidRDefault="00C03817" w:rsidP="00C03817">
      <w:pPr>
        <w:spacing w:after="0" w:line="240" w:lineRule="auto"/>
        <w:ind w:left="308"/>
        <w:rPr>
          <w:rFonts w:asciiTheme="minorHAnsi" w:eastAsia="Arial" w:hAnsiTheme="minorHAnsi" w:cstheme="minorHAnsi"/>
        </w:rPr>
      </w:pPr>
    </w:p>
    <w:p w14:paraId="34B8B3B1" w14:textId="348F1925" w:rsidR="00C03817" w:rsidRPr="00CA63C4" w:rsidRDefault="00C03817" w:rsidP="00C03817">
      <w:pPr>
        <w:pStyle w:val="ListParagraph"/>
        <w:numPr>
          <w:ilvl w:val="0"/>
          <w:numId w:val="2"/>
        </w:numPr>
        <w:spacing w:after="0" w:line="240" w:lineRule="auto"/>
        <w:rPr>
          <w:i/>
          <w:iCs/>
        </w:rPr>
      </w:pPr>
      <w:r w:rsidRPr="00CA63C4">
        <w:rPr>
          <w:i/>
          <w:iCs/>
        </w:rPr>
        <w:t>11-1-</w:t>
      </w:r>
      <w:proofErr w:type="gramStart"/>
      <w:r w:rsidRPr="00CA63C4">
        <w:rPr>
          <w:i/>
          <w:iCs/>
        </w:rPr>
        <w:t>1.b.</w:t>
      </w:r>
      <w:proofErr w:type="gramEnd"/>
      <w:r w:rsidRPr="00CA63C4">
        <w:rPr>
          <w:i/>
          <w:iCs/>
        </w:rPr>
        <w:t xml:space="preserve"> not be operated in a careless or negligent manner or in a way that would endanger persons or property.</w:t>
      </w:r>
    </w:p>
    <w:p w14:paraId="7BDE744D" w14:textId="5E147A60" w:rsidR="00C03817" w:rsidRPr="00CA63C4" w:rsidRDefault="00C03817" w:rsidP="00C03817">
      <w:pPr>
        <w:pStyle w:val="ListParagraph"/>
        <w:numPr>
          <w:ilvl w:val="0"/>
          <w:numId w:val="2"/>
        </w:numPr>
        <w:spacing w:after="0" w:line="240" w:lineRule="auto"/>
        <w:rPr>
          <w:i/>
          <w:iCs/>
        </w:rPr>
      </w:pPr>
      <w:r w:rsidRPr="00CA63C4">
        <w:rPr>
          <w:i/>
          <w:iCs/>
        </w:rPr>
        <w:t>1.1.11. Stopping, Parking, and Unattended Vehicles/Equipment.</w:t>
      </w:r>
    </w:p>
    <w:p w14:paraId="52A79695" w14:textId="77777777" w:rsidR="00C03817" w:rsidRDefault="00C03817" w:rsidP="00C03817">
      <w:pPr>
        <w:pStyle w:val="ListParagraph"/>
        <w:spacing w:after="0" w:line="240" w:lineRule="auto"/>
        <w:ind w:left="1028"/>
      </w:pPr>
    </w:p>
    <w:p w14:paraId="2766F9EF" w14:textId="77777777" w:rsidR="00C03817" w:rsidRDefault="00C03817" w:rsidP="00C03817">
      <w:pPr>
        <w:spacing w:after="0" w:line="240" w:lineRule="auto"/>
        <w:ind w:left="308"/>
        <w:rPr>
          <w:rFonts w:ascii="Arial" w:eastAsia="Arial" w:hAnsi="Arial" w:cs="Arial"/>
          <w:sz w:val="16"/>
        </w:rPr>
      </w:pPr>
    </w:p>
    <w:p w14:paraId="1E99532C" w14:textId="38A176A1" w:rsidR="009B0395" w:rsidRPr="00452B40" w:rsidRDefault="00452B40" w:rsidP="00452B40">
      <w:pPr>
        <w:tabs>
          <w:tab w:val="right" w:pos="9361"/>
        </w:tabs>
        <w:spacing w:after="272"/>
        <w:ind w:left="-15" w:right="-15"/>
        <w:jc w:val="center"/>
        <w:rPr>
          <w:sz w:val="20"/>
          <w:szCs w:val="20"/>
        </w:rPr>
      </w:pPr>
      <w:r w:rsidRPr="004F0797">
        <w:rPr>
          <w:rFonts w:ascii="Arial" w:eastAsia="Arial" w:hAnsi="Arial" w:cs="Arial"/>
          <w:sz w:val="20"/>
          <w:szCs w:val="20"/>
          <w:highlight w:val="yellow"/>
        </w:rPr>
        <w:t>For any questions or concerns please contact the TBITEC Hotline (310) 646-9378.</w:t>
      </w:r>
    </w:p>
    <w:sectPr w:rsidR="009B0395" w:rsidRPr="00452B40">
      <w:headerReference w:type="even" r:id="rId11"/>
      <w:headerReference w:type="default" r:id="rId12"/>
      <w:footerReference w:type="even" r:id="rId13"/>
      <w:footerReference w:type="default" r:id="rId14"/>
      <w:headerReference w:type="first" r:id="rId15"/>
      <w:footerReference w:type="first" r:id="rId16"/>
      <w:pgSz w:w="12240" w:h="15840"/>
      <w:pgMar w:top="590" w:right="1439" w:bottom="5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93B5" w14:textId="77777777" w:rsidR="00452B40" w:rsidRDefault="00452B40" w:rsidP="00452B40">
      <w:pPr>
        <w:spacing w:after="0" w:line="240" w:lineRule="auto"/>
      </w:pPr>
      <w:r>
        <w:separator/>
      </w:r>
    </w:p>
  </w:endnote>
  <w:endnote w:type="continuationSeparator" w:id="0">
    <w:p w14:paraId="2B00B878" w14:textId="77777777" w:rsidR="00452B40" w:rsidRDefault="00452B40" w:rsidP="0045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AD90" w14:textId="77777777" w:rsidR="00FF2B75" w:rsidRDefault="00FF2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6B82" w14:textId="52F73A1C" w:rsidR="00452B40" w:rsidRDefault="00452B40" w:rsidP="00452B40">
    <w:pPr>
      <w:pStyle w:val="Footer"/>
      <w:tabs>
        <w:tab w:val="clear" w:pos="4680"/>
        <w:tab w:val="clear" w:pos="9360"/>
        <w:tab w:val="right" w:pos="9361"/>
      </w:tabs>
    </w:pPr>
    <w:r>
      <w:t>No.020-1</w:t>
    </w:r>
    <w:r w:rsidR="00FF2B75">
      <w:t>5</w:t>
    </w:r>
    <w:r>
      <w:tab/>
      <w:t>Safety Alert /JA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39D6" w14:textId="77777777" w:rsidR="00FF2B75" w:rsidRDefault="00FF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701BD" w14:textId="77777777" w:rsidR="00452B40" w:rsidRDefault="00452B40" w:rsidP="00452B40">
      <w:pPr>
        <w:spacing w:after="0" w:line="240" w:lineRule="auto"/>
      </w:pPr>
      <w:r>
        <w:separator/>
      </w:r>
    </w:p>
  </w:footnote>
  <w:footnote w:type="continuationSeparator" w:id="0">
    <w:p w14:paraId="7BB7647F" w14:textId="77777777" w:rsidR="00452B40" w:rsidRDefault="00452B40" w:rsidP="0045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6876" w14:textId="77777777" w:rsidR="00FF2B75" w:rsidRDefault="00FF2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6142" w14:textId="6E5A0854" w:rsidR="00452B40" w:rsidRDefault="00452B40">
    <w:pPr>
      <w:pStyle w:val="Header"/>
    </w:pPr>
    <w:r>
      <w:t xml:space="preserve">Safety Alert </w:t>
    </w:r>
    <w:r>
      <w:ptab w:relativeTo="margin" w:alignment="center" w:leader="none"/>
    </w:r>
    <w:r>
      <w:ptab w:relativeTo="margin" w:alignment="right" w:leader="none"/>
    </w:r>
    <w:r>
      <w:t>No.020-</w:t>
    </w:r>
    <w:r w:rsidR="00FF2B75">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D898" w14:textId="77777777" w:rsidR="00FF2B75" w:rsidRDefault="00FF2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A6E5D"/>
    <w:multiLevelType w:val="hybridMultilevel"/>
    <w:tmpl w:val="82A09FB8"/>
    <w:lvl w:ilvl="0" w:tplc="D91A3C48">
      <w:start w:val="1"/>
      <w:numFmt w:val="bullet"/>
      <w:lvlText w:val="•"/>
      <w:lvlJc w:val="left"/>
      <w:pPr>
        <w:ind w:left="110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1" w:tplc="FA9E2A3C">
      <w:start w:val="1"/>
      <w:numFmt w:val="bullet"/>
      <w:lvlText w:val="o"/>
      <w:lvlJc w:val="left"/>
      <w:pPr>
        <w:ind w:left="1486"/>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2" w:tplc="83C0FABC">
      <w:start w:val="1"/>
      <w:numFmt w:val="bullet"/>
      <w:lvlText w:val="▪"/>
      <w:lvlJc w:val="left"/>
      <w:pPr>
        <w:ind w:left="2206"/>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3" w:tplc="87BA5E52">
      <w:start w:val="1"/>
      <w:numFmt w:val="bullet"/>
      <w:lvlText w:val="•"/>
      <w:lvlJc w:val="left"/>
      <w:pPr>
        <w:ind w:left="2926"/>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4" w:tplc="CD083A7C">
      <w:start w:val="1"/>
      <w:numFmt w:val="bullet"/>
      <w:lvlText w:val="o"/>
      <w:lvlJc w:val="left"/>
      <w:pPr>
        <w:ind w:left="3646"/>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5" w:tplc="F12A6F72">
      <w:start w:val="1"/>
      <w:numFmt w:val="bullet"/>
      <w:lvlText w:val="▪"/>
      <w:lvlJc w:val="left"/>
      <w:pPr>
        <w:ind w:left="4366"/>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6" w:tplc="EF5A009C">
      <w:start w:val="1"/>
      <w:numFmt w:val="bullet"/>
      <w:lvlText w:val="•"/>
      <w:lvlJc w:val="left"/>
      <w:pPr>
        <w:ind w:left="5086"/>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7" w:tplc="A8265F30">
      <w:start w:val="1"/>
      <w:numFmt w:val="bullet"/>
      <w:lvlText w:val="o"/>
      <w:lvlJc w:val="left"/>
      <w:pPr>
        <w:ind w:left="5806"/>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8" w:tplc="10969C46">
      <w:start w:val="1"/>
      <w:numFmt w:val="bullet"/>
      <w:lvlText w:val="▪"/>
      <w:lvlJc w:val="left"/>
      <w:pPr>
        <w:ind w:left="6526"/>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abstractNum>
  <w:abstractNum w:abstractNumId="1" w15:restartNumberingAfterBreak="0">
    <w:nsid w:val="70C33C7C"/>
    <w:multiLevelType w:val="hybridMultilevel"/>
    <w:tmpl w:val="BA0C076E"/>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95"/>
    <w:rsid w:val="001638E7"/>
    <w:rsid w:val="00452B40"/>
    <w:rsid w:val="004F0797"/>
    <w:rsid w:val="004F33EE"/>
    <w:rsid w:val="007C3C1C"/>
    <w:rsid w:val="009B0395"/>
    <w:rsid w:val="00C03817"/>
    <w:rsid w:val="00CA63C4"/>
    <w:rsid w:val="00FC248E"/>
    <w:rsid w:val="00FF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D7075"/>
  <w15:docId w15:val="{8D9D524B-A998-4E61-8742-7803BF9D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B40"/>
    <w:rPr>
      <w:rFonts w:ascii="Calibri" w:eastAsia="Calibri" w:hAnsi="Calibri" w:cs="Calibri"/>
      <w:color w:val="000000"/>
    </w:rPr>
  </w:style>
  <w:style w:type="paragraph" w:styleId="Footer">
    <w:name w:val="footer"/>
    <w:basedOn w:val="Normal"/>
    <w:link w:val="FooterChar"/>
    <w:uiPriority w:val="99"/>
    <w:unhideWhenUsed/>
    <w:rsid w:val="0045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B40"/>
    <w:rPr>
      <w:rFonts w:ascii="Calibri" w:eastAsia="Calibri" w:hAnsi="Calibri" w:cs="Calibri"/>
      <w:color w:val="000000"/>
    </w:rPr>
  </w:style>
  <w:style w:type="character" w:styleId="Hyperlink">
    <w:name w:val="Hyperlink"/>
    <w:basedOn w:val="DefaultParagraphFont"/>
    <w:uiPriority w:val="99"/>
    <w:unhideWhenUsed/>
    <w:rsid w:val="00C03817"/>
    <w:rPr>
      <w:color w:val="0000FF"/>
      <w:u w:val="single"/>
    </w:rPr>
  </w:style>
  <w:style w:type="character" w:styleId="UnresolvedMention">
    <w:name w:val="Unresolved Mention"/>
    <w:basedOn w:val="DefaultParagraphFont"/>
    <w:uiPriority w:val="99"/>
    <w:semiHidden/>
    <w:unhideWhenUsed/>
    <w:rsid w:val="00C03817"/>
    <w:rPr>
      <w:color w:val="605E5C"/>
      <w:shd w:val="clear" w:color="auto" w:fill="E1DFDD"/>
    </w:rPr>
  </w:style>
  <w:style w:type="paragraph" w:styleId="ListParagraph">
    <w:name w:val="List Paragraph"/>
    <w:basedOn w:val="Normal"/>
    <w:uiPriority w:val="34"/>
    <w:qFormat/>
    <w:rsid w:val="00C03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awa.org/en/rules-and-regulations/lax-rules-and-regulatio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2A41-BCAD-4053-A65D-BFAC5CFE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SAFETY ALERT</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ALERT</dc:title>
  <dc:subject/>
  <dc:creator>Jasmin Alcala</dc:creator>
  <cp:keywords/>
  <cp:lastModifiedBy>Jasmin Alcala</cp:lastModifiedBy>
  <cp:revision>8</cp:revision>
  <dcterms:created xsi:type="dcterms:W3CDTF">2020-01-23T16:11:00Z</dcterms:created>
  <dcterms:modified xsi:type="dcterms:W3CDTF">2020-03-06T16:28:00Z</dcterms:modified>
</cp:coreProperties>
</file>